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Blumer Brendan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BULLISH, BUILDING A BLOCK 7 60 NEXUS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CAMANA BAY, GEORGE 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CAYMAN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CAYMAN ISLANDS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KY1-9005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CAYMAN ISLANDS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Bullish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BLSH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5"/>
        <w:gridCol w:w="774"/>
        <w:gridCol w:w="601"/>
        <w:gridCol w:w="348"/>
        <w:gridCol w:w="888"/>
        <w:gridCol w:w="453"/>
        <w:gridCol w:w="616"/>
        <w:gridCol w:w="136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39,167,885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5,877 restricted share units ("RSUs") granted to the Reporting Person pursuant to the Bullish 2025 Omnibus Incentive Plan. The RSUs vest in full on September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the issuer's status as a foreign private issuer pursuant to Rule 3a12-3(b) under the Exchange Act, the reporting person's transactions in the issuer's equity securities are exempt from Sections 16(b) and 16(c) of the Exchange Act.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Brendan Francis Blumer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357" TargetMode="External"/><Relationship Id="rId5" Type="http://schemas.openxmlformats.org/officeDocument/2006/relationships/hyperlink" Target="http://www.sec.gov/cgi-bin/browse-edgar?action=getcompany&amp;CIK=0001872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3475</Characters>
  <CharactersWithSpaces>4044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