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Yuan Kokuei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BULLISH, BUILDING A BLOCK 7 60 NEXUS 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CAMANA BAY, GEORGE TOWN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CAYMAN ISLANDS</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KY1-9005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Bullish</w:t>
              </w:r>
            </w:hyperlink>
            <w:r>
              <w:rPr/>
              <w:t xml:space="preserve"> [ </w:t>
            </w:r>
            <w:r>
              <w:rPr>
                <w:rFonts w:ascii="Times;serif" w:hAnsi="Times;serif"/>
                <w:color w:val="0000FF"/>
                <w:sz w:val="24"/>
                <w:shd w:fill="FFFFFF" w:val="clear"/>
              </w:rPr>
              <w:t>BLSH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9"/>
        <w:gridCol w:w="904"/>
        <w:gridCol w:w="774"/>
        <w:gridCol w:w="600"/>
        <w:gridCol w:w="346"/>
        <w:gridCol w:w="880"/>
        <w:gridCol w:w="446"/>
        <w:gridCol w:w="609"/>
        <w:gridCol w:w="1358"/>
        <w:gridCol w:w="988"/>
        <w:gridCol w:w="10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5,877</w:t>
            </w:r>
            <w:r>
              <w:rPr>
                <w:rFonts w:ascii="Times;serif" w:hAnsi="Times;serif"/>
                <w:color w:val="008000"/>
                <w:position w:val="7"/>
                <w:sz w:val="16"/>
                <w:sz w:val="20"/>
                <w:shd w:fill="FFFFFF" w:val="clear"/>
              </w:rPr>
              <w:t>(1)</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36,463,053</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35,666</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5,877 restricted share units ("RSUs") granted to the Reporting Person pursuant to the Bullish 2025 Omnibus Incentive Plan. The RSUs vest in full on September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securities are held indirectly through EFM Global Alternatives Growth Feeder Fund (the "Fund"), which invests through two master funds (the "Master Funds") that hold the reported securities. The Reporting Person holds non-voting shares in the Fund, which provide him with a pecuniary interest in the reported securities. The Reporting Person disclaims any beneficial ownership of the Fund, the Master Funds, or of any investment manager of any such entities, except to the extent of his pecuniary interests therein, and this report shall not be deemed an admission that such securities are beneficially owned by him for Section 16 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issuer's status as a foreign private issuer pursuant to Rule 3a12-3(b) under the Exchange Act, the reporting person's transactions in the issuer's equity securities are exempt from Sections 16(b) and 16(c) of the Exchange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Kokuei Yuan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4189" TargetMode="External"/><Relationship Id="rId5" Type="http://schemas.openxmlformats.org/officeDocument/2006/relationships/hyperlink" Target="http://www.sec.gov/cgi-bin/browse-edgar?action=getcompany&amp;CIK=00018721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748</Words>
  <Characters>4054</Characters>
  <CharactersWithSpaces>4727</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